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915"/>
        <w:tblW w:w="9645" w:type="dxa"/>
        <w:tblLayout w:type="fixed"/>
        <w:tblLook w:val="0000" w:firstRow="0" w:lastRow="0" w:firstColumn="0" w:lastColumn="0" w:noHBand="0" w:noVBand="0"/>
      </w:tblPr>
      <w:tblGrid>
        <w:gridCol w:w="1943"/>
        <w:gridCol w:w="5164"/>
        <w:gridCol w:w="2538"/>
      </w:tblGrid>
      <w:tr w:rsidR="000C64D5" w:rsidRPr="00594D81" w:rsidTr="003C339E">
        <w:trPr>
          <w:trHeight w:val="641"/>
        </w:trPr>
        <w:tc>
          <w:tcPr>
            <w:tcW w:w="1943" w:type="dxa"/>
          </w:tcPr>
          <w:p w:rsidR="000C64D5" w:rsidRPr="00A71FD3" w:rsidRDefault="000C64D5" w:rsidP="003C339E">
            <w:pPr>
              <w:jc w:val="center"/>
              <w:rPr>
                <w:rFonts w:ascii="Calisto MT" w:hAnsi="Calisto MT"/>
                <w:b/>
                <w:sz w:val="22"/>
                <w:szCs w:val="22"/>
              </w:rPr>
            </w:pPr>
            <w:r w:rsidRPr="00A71FD3">
              <w:rPr>
                <w:rFonts w:ascii="Calisto MT" w:hAnsi="Calisto MT"/>
                <w:b/>
                <w:noProof/>
                <w:sz w:val="22"/>
                <w:szCs w:val="22"/>
                <w:lang w:eastAsia="en-US" w:bidi="ar-SA"/>
              </w:rPr>
              <w:drawing>
                <wp:inline distT="0" distB="0" distL="0" distR="0" wp14:anchorId="2B4CA72C" wp14:editId="36B60C91">
                  <wp:extent cx="933450" cy="895350"/>
                  <wp:effectExtent l="19050" t="0" r="0" b="0"/>
                  <wp:docPr id="12" name="Picture 12" descr="Original Clear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iginal Clear Seal"/>
                          <pic:cNvPicPr>
                            <a:picLocks noChangeAspect="1" noChangeArrowheads="1"/>
                          </pic:cNvPicPr>
                        </pic:nvPicPr>
                        <pic:blipFill>
                          <a:blip r:embed="rId4" cstate="print"/>
                          <a:srcRect/>
                          <a:stretch>
                            <a:fillRect/>
                          </a:stretch>
                        </pic:blipFill>
                        <pic:spPr bwMode="auto">
                          <a:xfrm>
                            <a:off x="0" y="0"/>
                            <a:ext cx="933450" cy="895350"/>
                          </a:xfrm>
                          <a:prstGeom prst="rect">
                            <a:avLst/>
                          </a:prstGeom>
                          <a:noFill/>
                          <a:ln w="9525">
                            <a:noFill/>
                            <a:miter lim="800000"/>
                            <a:headEnd/>
                            <a:tailEnd/>
                          </a:ln>
                        </pic:spPr>
                      </pic:pic>
                    </a:graphicData>
                  </a:graphic>
                </wp:inline>
              </w:drawing>
            </w:r>
          </w:p>
          <w:p w:rsidR="000C64D5" w:rsidRPr="00A71FD3" w:rsidRDefault="000C64D5" w:rsidP="003C339E">
            <w:pPr>
              <w:pStyle w:val="Heading9"/>
              <w:framePr w:hSpace="0" w:wrap="auto" w:vAnchor="margin" w:hAnchor="text" w:xAlign="left" w:yAlign="inline"/>
              <w:rPr>
                <w:rFonts w:ascii="Calisto MT" w:hAnsi="Calisto MT"/>
                <w:sz w:val="22"/>
                <w:szCs w:val="22"/>
              </w:rPr>
            </w:pPr>
            <w:r w:rsidRPr="00A71FD3">
              <w:rPr>
                <w:rFonts w:ascii="Calisto MT" w:hAnsi="Calisto MT"/>
                <w:sz w:val="22"/>
                <w:szCs w:val="22"/>
              </w:rPr>
              <w:t xml:space="preserve">Anthony </w:t>
            </w:r>
            <w:proofErr w:type="spellStart"/>
            <w:r w:rsidRPr="00A71FD3">
              <w:rPr>
                <w:rFonts w:ascii="Calisto MT" w:hAnsi="Calisto MT"/>
                <w:sz w:val="22"/>
                <w:szCs w:val="22"/>
              </w:rPr>
              <w:t>Vauss</w:t>
            </w:r>
            <w:proofErr w:type="spellEnd"/>
          </w:p>
          <w:p w:rsidR="000C64D5" w:rsidRPr="00A71FD3" w:rsidRDefault="000C64D5" w:rsidP="003C339E">
            <w:pPr>
              <w:jc w:val="center"/>
              <w:rPr>
                <w:rFonts w:ascii="Calisto MT" w:hAnsi="Calisto MT"/>
                <w:b/>
                <w:sz w:val="22"/>
                <w:szCs w:val="22"/>
              </w:rPr>
            </w:pPr>
            <w:r w:rsidRPr="00A71FD3">
              <w:rPr>
                <w:rFonts w:ascii="Calisto MT" w:hAnsi="Calisto MT"/>
                <w:b/>
                <w:sz w:val="22"/>
                <w:szCs w:val="22"/>
              </w:rPr>
              <w:t>Mayor</w:t>
            </w:r>
          </w:p>
          <w:p w:rsidR="000C64D5" w:rsidRPr="00A71FD3" w:rsidRDefault="000C64D5" w:rsidP="003C339E">
            <w:pPr>
              <w:jc w:val="center"/>
              <w:rPr>
                <w:rFonts w:ascii="Calisto MT" w:hAnsi="Calisto MT"/>
                <w:b/>
                <w:sz w:val="22"/>
                <w:szCs w:val="22"/>
              </w:rPr>
            </w:pPr>
          </w:p>
        </w:tc>
        <w:tc>
          <w:tcPr>
            <w:tcW w:w="5164" w:type="dxa"/>
          </w:tcPr>
          <w:p w:rsidR="000C64D5" w:rsidRPr="00A71FD3" w:rsidRDefault="000C64D5" w:rsidP="003C339E">
            <w:pPr>
              <w:pStyle w:val="Heading3"/>
              <w:framePr w:hSpace="0" w:wrap="auto" w:vAnchor="margin" w:hAnchor="text" w:yAlign="inline"/>
              <w:rPr>
                <w:rFonts w:ascii="Calisto MT" w:hAnsi="Calisto MT"/>
                <w:bCs/>
                <w:color w:val="auto"/>
                <w:szCs w:val="22"/>
              </w:rPr>
            </w:pPr>
            <w:r w:rsidRPr="00A71FD3">
              <w:rPr>
                <w:rFonts w:ascii="Calisto MT" w:hAnsi="Calisto MT"/>
                <w:bCs/>
                <w:color w:val="auto"/>
                <w:szCs w:val="22"/>
              </w:rPr>
              <w:t>TOWNSHIP OF IRVINGTON</w:t>
            </w:r>
          </w:p>
          <w:p w:rsidR="000C64D5" w:rsidRPr="00A71FD3" w:rsidRDefault="000C64D5" w:rsidP="003C339E">
            <w:pPr>
              <w:pStyle w:val="Heading3"/>
              <w:framePr w:hSpace="0" w:wrap="auto" w:vAnchor="margin" w:hAnchor="text" w:yAlign="inline"/>
              <w:rPr>
                <w:rFonts w:ascii="Calisto MT" w:hAnsi="Calisto MT"/>
                <w:bCs/>
                <w:color w:val="auto"/>
                <w:szCs w:val="22"/>
              </w:rPr>
            </w:pPr>
            <w:r>
              <w:rPr>
                <w:rFonts w:ascii="Calisto MT" w:hAnsi="Calisto MT"/>
                <w:bCs/>
                <w:color w:val="auto"/>
                <w:szCs w:val="22"/>
              </w:rPr>
              <w:t>OFFICE OF THE TAX COLLECTOR</w:t>
            </w:r>
          </w:p>
          <w:p w:rsidR="000C64D5" w:rsidRPr="00A71FD3" w:rsidRDefault="000C64D5" w:rsidP="003C339E">
            <w:pPr>
              <w:pStyle w:val="Heading1"/>
              <w:rPr>
                <w:rFonts w:ascii="Calisto MT" w:hAnsi="Calisto MT"/>
                <w:bCs/>
                <w:color w:val="auto"/>
                <w:szCs w:val="22"/>
              </w:rPr>
            </w:pPr>
            <w:r w:rsidRPr="00A71FD3">
              <w:rPr>
                <w:rFonts w:ascii="Calisto MT" w:hAnsi="Calisto MT"/>
                <w:bCs/>
                <w:color w:val="auto"/>
                <w:szCs w:val="22"/>
              </w:rPr>
              <w:t xml:space="preserve">MUNICIPAL BUILDING </w:t>
            </w:r>
          </w:p>
          <w:p w:rsidR="000C64D5" w:rsidRPr="00A71FD3" w:rsidRDefault="000C64D5" w:rsidP="003C339E">
            <w:pPr>
              <w:pStyle w:val="Heading1"/>
              <w:rPr>
                <w:rFonts w:ascii="Calisto MT" w:hAnsi="Calisto MT"/>
                <w:bCs/>
                <w:color w:val="auto"/>
                <w:szCs w:val="22"/>
              </w:rPr>
            </w:pPr>
            <w:r w:rsidRPr="00A71FD3">
              <w:rPr>
                <w:rFonts w:ascii="Calisto MT" w:hAnsi="Calisto MT"/>
                <w:bCs/>
                <w:color w:val="auto"/>
                <w:szCs w:val="22"/>
              </w:rPr>
              <w:t>1 CIVIC SQUARE</w:t>
            </w:r>
          </w:p>
          <w:p w:rsidR="000C64D5" w:rsidRPr="00A71FD3" w:rsidRDefault="000C64D5" w:rsidP="003C339E">
            <w:pPr>
              <w:pStyle w:val="Heading1"/>
              <w:rPr>
                <w:rFonts w:ascii="Calisto MT" w:hAnsi="Calisto MT"/>
                <w:bCs/>
                <w:color w:val="auto"/>
                <w:szCs w:val="22"/>
              </w:rPr>
            </w:pPr>
            <w:r w:rsidRPr="00A71FD3">
              <w:rPr>
                <w:rFonts w:ascii="Calisto MT" w:hAnsi="Calisto MT"/>
                <w:bCs/>
                <w:color w:val="auto"/>
                <w:szCs w:val="22"/>
              </w:rPr>
              <w:t>IRVINGTON, NJ 07111</w:t>
            </w:r>
          </w:p>
          <w:p w:rsidR="000C64D5" w:rsidRPr="00A71FD3" w:rsidRDefault="000C64D5" w:rsidP="003C339E">
            <w:pPr>
              <w:pStyle w:val="Heading7"/>
              <w:rPr>
                <w:rFonts w:ascii="Calisto MT" w:hAnsi="Calisto MT"/>
                <w:bCs/>
                <w:color w:val="auto"/>
                <w:szCs w:val="22"/>
              </w:rPr>
            </w:pPr>
            <w:r w:rsidRPr="00A71FD3">
              <w:rPr>
                <w:rFonts w:ascii="Calisto MT" w:hAnsi="Calisto MT"/>
                <w:bCs/>
                <w:color w:val="auto"/>
                <w:szCs w:val="22"/>
              </w:rPr>
              <w:t>Tel. (973) 399-66</w:t>
            </w:r>
            <w:r>
              <w:rPr>
                <w:rFonts w:ascii="Calisto MT" w:hAnsi="Calisto MT"/>
                <w:bCs/>
                <w:color w:val="auto"/>
                <w:szCs w:val="22"/>
              </w:rPr>
              <w:t>13</w:t>
            </w:r>
            <w:r w:rsidRPr="00A71FD3">
              <w:rPr>
                <w:rFonts w:ascii="Calisto MT" w:hAnsi="Calisto MT"/>
                <w:bCs/>
                <w:color w:val="auto"/>
                <w:szCs w:val="22"/>
              </w:rPr>
              <w:t xml:space="preserve"> Fax: (973) 399-6</w:t>
            </w:r>
            <w:r>
              <w:rPr>
                <w:rFonts w:ascii="Calisto MT" w:hAnsi="Calisto MT"/>
                <w:bCs/>
                <w:color w:val="auto"/>
                <w:szCs w:val="22"/>
              </w:rPr>
              <w:t>618</w:t>
            </w:r>
          </w:p>
          <w:p w:rsidR="000C64D5" w:rsidRPr="00A71FD3" w:rsidRDefault="000C64D5" w:rsidP="003C339E">
            <w:pPr>
              <w:jc w:val="center"/>
              <w:rPr>
                <w:rFonts w:ascii="Calisto MT" w:hAnsi="Calisto MT"/>
                <w:b/>
                <w:sz w:val="22"/>
                <w:szCs w:val="22"/>
              </w:rPr>
            </w:pPr>
            <w:r>
              <w:rPr>
                <w:rFonts w:ascii="Calisto MT" w:hAnsi="Calisto MT"/>
                <w:b/>
                <w:bCs/>
                <w:sz w:val="22"/>
                <w:szCs w:val="22"/>
              </w:rPr>
              <w:t>Website</w:t>
            </w:r>
            <w:r w:rsidRPr="00A71FD3">
              <w:rPr>
                <w:rFonts w:ascii="Calisto MT" w:hAnsi="Calisto MT"/>
                <w:b/>
                <w:bCs/>
                <w:sz w:val="22"/>
                <w:szCs w:val="22"/>
              </w:rPr>
              <w:t xml:space="preserve">: </w:t>
            </w:r>
            <w:hyperlink r:id="rId5" w:history="1">
              <w:r w:rsidRPr="00A71FD3">
                <w:rPr>
                  <w:rStyle w:val="Hyperlink"/>
                  <w:rFonts w:ascii="Calisto MT" w:hAnsi="Calisto MT"/>
                  <w:b/>
                  <w:sz w:val="22"/>
                  <w:szCs w:val="22"/>
                </w:rPr>
                <w:t>www.irvington.net</w:t>
              </w:r>
            </w:hyperlink>
          </w:p>
          <w:p w:rsidR="000C64D5" w:rsidRPr="00A71FD3" w:rsidRDefault="000C64D5" w:rsidP="003C339E">
            <w:pPr>
              <w:rPr>
                <w:rFonts w:ascii="Calisto MT" w:hAnsi="Calisto MT"/>
                <w:b/>
                <w:sz w:val="22"/>
                <w:szCs w:val="22"/>
              </w:rPr>
            </w:pPr>
          </w:p>
        </w:tc>
        <w:tc>
          <w:tcPr>
            <w:tcW w:w="2538" w:type="dxa"/>
          </w:tcPr>
          <w:p w:rsidR="000C64D5" w:rsidRPr="00A71FD3" w:rsidRDefault="000C64D5" w:rsidP="003C339E">
            <w:pPr>
              <w:jc w:val="center"/>
              <w:rPr>
                <w:rFonts w:ascii="Calisto MT" w:hAnsi="Calisto MT"/>
                <w:b/>
                <w:bCs/>
                <w:sz w:val="22"/>
                <w:szCs w:val="22"/>
              </w:rPr>
            </w:pPr>
            <w:r w:rsidRPr="00A71FD3">
              <w:rPr>
                <w:rFonts w:ascii="Calisto MT" w:hAnsi="Calisto MT"/>
                <w:b/>
                <w:bCs/>
                <w:sz w:val="22"/>
                <w:szCs w:val="22"/>
              </w:rPr>
              <w:t>Musa A. Malik</w:t>
            </w:r>
          </w:p>
          <w:p w:rsidR="000C64D5" w:rsidRDefault="000C64D5" w:rsidP="003C339E">
            <w:pPr>
              <w:jc w:val="center"/>
              <w:rPr>
                <w:rFonts w:ascii="Calisto MT" w:hAnsi="Calisto MT"/>
                <w:b/>
                <w:bCs/>
                <w:sz w:val="22"/>
                <w:szCs w:val="22"/>
              </w:rPr>
            </w:pPr>
            <w:r>
              <w:rPr>
                <w:rFonts w:ascii="Calisto MT" w:hAnsi="Calisto MT"/>
                <w:b/>
                <w:bCs/>
                <w:sz w:val="22"/>
                <w:szCs w:val="22"/>
              </w:rPr>
              <w:t>Acting Director</w:t>
            </w:r>
          </w:p>
          <w:p w:rsidR="000C64D5" w:rsidRDefault="000C64D5" w:rsidP="003C339E">
            <w:pPr>
              <w:jc w:val="center"/>
              <w:rPr>
                <w:rFonts w:ascii="Calisto MT" w:hAnsi="Calisto MT"/>
                <w:b/>
                <w:bCs/>
                <w:sz w:val="22"/>
                <w:szCs w:val="22"/>
              </w:rPr>
            </w:pPr>
          </w:p>
          <w:p w:rsidR="000C64D5" w:rsidRPr="00A71FD3" w:rsidRDefault="000C64D5" w:rsidP="003C339E">
            <w:pPr>
              <w:jc w:val="center"/>
              <w:rPr>
                <w:rFonts w:ascii="Calisto MT" w:hAnsi="Calisto MT"/>
                <w:b/>
                <w:bCs/>
                <w:sz w:val="22"/>
                <w:szCs w:val="22"/>
              </w:rPr>
            </w:pPr>
            <w:r>
              <w:rPr>
                <w:rFonts w:ascii="Calisto MT" w:hAnsi="Calisto MT"/>
                <w:b/>
                <w:bCs/>
                <w:sz w:val="22"/>
                <w:szCs w:val="22"/>
              </w:rPr>
              <w:t>Faheem RaOof</w:t>
            </w:r>
          </w:p>
          <w:p w:rsidR="000C64D5" w:rsidRDefault="000C64D5" w:rsidP="003C339E">
            <w:pPr>
              <w:jc w:val="center"/>
              <w:rPr>
                <w:rFonts w:ascii="Calisto MT" w:hAnsi="Calisto MT"/>
                <w:b/>
                <w:bCs/>
                <w:sz w:val="22"/>
                <w:szCs w:val="22"/>
              </w:rPr>
            </w:pPr>
            <w:r>
              <w:rPr>
                <w:rFonts w:ascii="Calisto MT" w:hAnsi="Calisto MT"/>
                <w:b/>
                <w:bCs/>
                <w:sz w:val="22"/>
                <w:szCs w:val="22"/>
              </w:rPr>
              <w:t>CPA, CFO</w:t>
            </w:r>
          </w:p>
          <w:p w:rsidR="000C64D5" w:rsidRDefault="000C64D5" w:rsidP="003C339E">
            <w:pPr>
              <w:jc w:val="center"/>
              <w:rPr>
                <w:rFonts w:ascii="Calisto MT" w:hAnsi="Calisto MT"/>
                <w:b/>
                <w:bCs/>
                <w:sz w:val="22"/>
                <w:szCs w:val="22"/>
              </w:rPr>
            </w:pPr>
          </w:p>
          <w:p w:rsidR="000C64D5" w:rsidRDefault="000C64D5" w:rsidP="003C339E">
            <w:pPr>
              <w:jc w:val="center"/>
              <w:rPr>
                <w:rFonts w:ascii="Calisto MT" w:hAnsi="Calisto MT"/>
                <w:b/>
                <w:bCs/>
                <w:sz w:val="22"/>
                <w:szCs w:val="22"/>
              </w:rPr>
            </w:pPr>
            <w:r>
              <w:rPr>
                <w:rFonts w:ascii="Calisto MT" w:hAnsi="Calisto MT"/>
                <w:b/>
                <w:bCs/>
                <w:sz w:val="22"/>
                <w:szCs w:val="22"/>
              </w:rPr>
              <w:t>Tyrone A. Young</w:t>
            </w:r>
          </w:p>
          <w:p w:rsidR="000C64D5" w:rsidRPr="00A71FD3" w:rsidRDefault="000C64D5" w:rsidP="003C339E">
            <w:pPr>
              <w:jc w:val="center"/>
              <w:rPr>
                <w:rFonts w:ascii="Calisto MT" w:hAnsi="Calisto MT"/>
                <w:b/>
                <w:bCs/>
                <w:sz w:val="22"/>
                <w:szCs w:val="22"/>
              </w:rPr>
            </w:pPr>
            <w:r>
              <w:rPr>
                <w:rFonts w:ascii="Calisto MT" w:hAnsi="Calisto MT"/>
                <w:b/>
                <w:bCs/>
                <w:sz w:val="22"/>
                <w:szCs w:val="22"/>
              </w:rPr>
              <w:t>Tax Collector</w:t>
            </w:r>
          </w:p>
        </w:tc>
      </w:tr>
    </w:tbl>
    <w:p w:rsidR="002E7597" w:rsidRDefault="003D143C"/>
    <w:p w:rsidR="000C64D5" w:rsidRDefault="007B3E1D">
      <w:r>
        <w:t>May 3, 2022</w:t>
      </w:r>
    </w:p>
    <w:p w:rsidR="000C64D5" w:rsidRDefault="000C64D5"/>
    <w:p w:rsidR="000C64D5" w:rsidRDefault="000C64D5">
      <w:r>
        <w:t>Re:</w:t>
      </w:r>
      <w:r>
        <w:tab/>
        <w:t>Tax Lien on your Property</w:t>
      </w:r>
    </w:p>
    <w:p w:rsidR="000C64D5" w:rsidRDefault="000C64D5"/>
    <w:p w:rsidR="000C64D5" w:rsidRDefault="000C64D5">
      <w:r>
        <w:t xml:space="preserve">Dear Taxpayer, </w:t>
      </w:r>
    </w:p>
    <w:p w:rsidR="000C64D5" w:rsidRDefault="000C64D5"/>
    <w:p w:rsidR="007B3E1D" w:rsidRDefault="007B3E1D">
      <w:r>
        <w:t xml:space="preserve">This letter serves as a courtesy reminder to redeem the lien that </w:t>
      </w:r>
      <w:r w:rsidRPr="003D143C">
        <w:rPr>
          <w:b/>
          <w:i/>
          <w:u w:val="single"/>
        </w:rPr>
        <w:t>may</w:t>
      </w:r>
      <w:r>
        <w:t xml:space="preserve"> exist on your property. You can check the status of your property tax and sewer account by visiting us on the web at: </w:t>
      </w:r>
      <w:hyperlink r:id="rId6" w:history="1">
        <w:r w:rsidRPr="00C37542">
          <w:rPr>
            <w:rStyle w:val="Hyperlink"/>
          </w:rPr>
          <w:t>www.irvvington.net</w:t>
        </w:r>
      </w:hyperlink>
      <w:r>
        <w:t xml:space="preserve"> and follow the </w:t>
      </w:r>
      <w:r w:rsidR="00BA5967" w:rsidRPr="00BA5967">
        <w:rPr>
          <w:highlight w:val="yellow"/>
        </w:rPr>
        <w:t>highlighted</w:t>
      </w:r>
      <w:r w:rsidR="00BA5967">
        <w:t xml:space="preserve"> </w:t>
      </w:r>
      <w:r>
        <w:t xml:space="preserve">illustrated steps below: </w:t>
      </w:r>
      <w:r w:rsidR="00BA5967">
        <w:rPr>
          <w:noProof/>
          <w:lang w:eastAsia="en-US" w:bidi="ar-SA"/>
        </w:rPr>
        <w:drawing>
          <wp:inline distT="0" distB="0" distL="0" distR="0" wp14:anchorId="74D6A9EA" wp14:editId="0CF6FD9B">
            <wp:extent cx="5943600" cy="163796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53497" cy="1640697"/>
                    </a:xfrm>
                    <a:prstGeom prst="rect">
                      <a:avLst/>
                    </a:prstGeom>
                  </pic:spPr>
                </pic:pic>
              </a:graphicData>
            </a:graphic>
          </wp:inline>
        </w:drawing>
      </w:r>
    </w:p>
    <w:p w:rsidR="00BA5967" w:rsidRDefault="00BA5967">
      <w:r>
        <w:rPr>
          <w:noProof/>
          <w:lang w:eastAsia="en-US" w:bidi="ar-SA"/>
        </w:rPr>
        <w:drawing>
          <wp:inline distT="0" distB="0" distL="0" distR="0" wp14:anchorId="43B19334" wp14:editId="1013DDB4">
            <wp:extent cx="5942965" cy="3999261"/>
            <wp:effectExtent l="0" t="0" r="63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77395" cy="4022430"/>
                    </a:xfrm>
                    <a:prstGeom prst="rect">
                      <a:avLst/>
                    </a:prstGeom>
                  </pic:spPr>
                </pic:pic>
              </a:graphicData>
            </a:graphic>
          </wp:inline>
        </w:drawing>
      </w:r>
    </w:p>
    <w:p w:rsidR="00BA5967" w:rsidRDefault="00BA5967">
      <w:r>
        <w:rPr>
          <w:noProof/>
          <w:lang w:eastAsia="en-US" w:bidi="ar-SA"/>
        </w:rPr>
        <w:lastRenderedPageBreak/>
        <w:drawing>
          <wp:inline distT="0" distB="0" distL="0" distR="0" wp14:anchorId="3F484C6C" wp14:editId="53371029">
            <wp:extent cx="5943600" cy="25501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550160"/>
                    </a:xfrm>
                    <a:prstGeom prst="rect">
                      <a:avLst/>
                    </a:prstGeom>
                  </pic:spPr>
                </pic:pic>
              </a:graphicData>
            </a:graphic>
          </wp:inline>
        </w:drawing>
      </w:r>
    </w:p>
    <w:p w:rsidR="000C64D5" w:rsidRDefault="00BA5967">
      <w:r>
        <w:t xml:space="preserve">Should there be </w:t>
      </w:r>
      <w:r w:rsidR="000C64D5">
        <w:t xml:space="preserve">a </w:t>
      </w:r>
      <w:r w:rsidR="003D143C">
        <w:t>lien that</w:t>
      </w:r>
      <w:r>
        <w:t xml:space="preserve"> exists on your property, </w:t>
      </w:r>
      <w:r w:rsidR="003D143C">
        <w:t>“There is a Lien on this Property” will appear in the center of the page, as illustrated above. S</w:t>
      </w:r>
      <w:bookmarkStart w:id="0" w:name="_GoBack"/>
      <w:bookmarkEnd w:id="0"/>
      <w:r>
        <w:t xml:space="preserve">aid </w:t>
      </w:r>
      <w:r w:rsidR="000C64D5">
        <w:t xml:space="preserve">certificate was acquired by the either the Township of Irvington or an outside third-party lienholder. </w:t>
      </w:r>
    </w:p>
    <w:p w:rsidR="000C64D5" w:rsidRDefault="000C64D5"/>
    <w:p w:rsidR="000C64D5" w:rsidRDefault="000C64D5">
      <w:r>
        <w:t xml:space="preserve">State statutes provide that certificates acquired by the municipality can be foreclosed any time after six (6) months after the date of sale and any time after two (2) years after the date of sale for a third-party lienholder. Subsequent taxes may also be accruing on your account. </w:t>
      </w:r>
    </w:p>
    <w:p w:rsidR="00BA5967" w:rsidRDefault="00BA5967"/>
    <w:p w:rsidR="00BA5967" w:rsidRDefault="00BA5967">
      <w:r>
        <w:t xml:space="preserve">Please note that if a property is deemed “abandoned,” immediate foreclosure actions can be taken. </w:t>
      </w:r>
    </w:p>
    <w:p w:rsidR="000C64D5" w:rsidRDefault="000C64D5"/>
    <w:p w:rsidR="000C64D5" w:rsidRDefault="00732F58">
      <w:r>
        <w:t xml:space="preserve">Payment of a lien is not permitted via online services. You must complete, sign and return </w:t>
      </w:r>
      <w:r w:rsidR="000C64D5">
        <w:t xml:space="preserve">the attached </w:t>
      </w:r>
      <w:r w:rsidR="00BA5967">
        <w:t xml:space="preserve">“Lien Redemption Request” </w:t>
      </w:r>
      <w:r>
        <w:t>form. P</w:t>
      </w:r>
      <w:r w:rsidR="000C64D5">
        <w:t xml:space="preserve">lease enter the date you anticipate paying on the line stating, “Please calculate figures though.” Include a copy of your valid photo identification card. If the property is not in your name, please provide proof of ownership or proof of interest in the property. In turn, the figures required to redeem said lien(s) will be provided to you. </w:t>
      </w:r>
    </w:p>
    <w:p w:rsidR="000C64D5" w:rsidRDefault="000C64D5"/>
    <w:p w:rsidR="000C64D5" w:rsidRDefault="000C64D5">
      <w:r>
        <w:t xml:space="preserve">If you wish to redeem the certificate(s) or have any questions, please contact this department at the 973-399-6613. </w:t>
      </w:r>
    </w:p>
    <w:p w:rsidR="000C64D5" w:rsidRDefault="000C64D5"/>
    <w:p w:rsidR="000C64D5" w:rsidRDefault="000C64D5">
      <w:r>
        <w:t xml:space="preserve">Thank you. </w:t>
      </w:r>
    </w:p>
    <w:p w:rsidR="000C64D5" w:rsidRDefault="000C64D5"/>
    <w:p w:rsidR="000C64D5" w:rsidRDefault="000C64D5">
      <w:r>
        <w:t xml:space="preserve">Respectfully, </w:t>
      </w:r>
    </w:p>
    <w:p w:rsidR="000C64D5" w:rsidRDefault="000C64D5"/>
    <w:p w:rsidR="000C64D5" w:rsidRDefault="000C64D5">
      <w:r>
        <w:t>Township of Irvington</w:t>
      </w:r>
    </w:p>
    <w:p w:rsidR="000C64D5" w:rsidRDefault="000C64D5">
      <w:r>
        <w:t>Tax Department</w:t>
      </w:r>
    </w:p>
    <w:sectPr w:rsidR="000C64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4D5"/>
    <w:rsid w:val="000C64D5"/>
    <w:rsid w:val="003D143C"/>
    <w:rsid w:val="006F4D15"/>
    <w:rsid w:val="00732F58"/>
    <w:rsid w:val="007B3E1D"/>
    <w:rsid w:val="00BA5967"/>
    <w:rsid w:val="00E67968"/>
    <w:rsid w:val="00E74725"/>
    <w:rsid w:val="00F21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800B14-A374-4E59-8D5C-23CE3E1F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4D5"/>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Heading1">
    <w:name w:val="heading 1"/>
    <w:basedOn w:val="Normal"/>
    <w:next w:val="Normal"/>
    <w:link w:val="Heading1Char"/>
    <w:qFormat/>
    <w:rsid w:val="000C64D5"/>
    <w:pPr>
      <w:keepNext/>
      <w:widowControl/>
      <w:suppressAutoHyphens w:val="0"/>
      <w:autoSpaceDN/>
      <w:jc w:val="center"/>
      <w:textAlignment w:val="auto"/>
      <w:outlineLvl w:val="0"/>
    </w:pPr>
    <w:rPr>
      <w:rFonts w:ascii="Goudy Old Style" w:eastAsia="Times New Roman" w:hAnsi="Goudy Old Style" w:cs="Times New Roman"/>
      <w:b/>
      <w:color w:val="000000"/>
      <w:kern w:val="0"/>
      <w:sz w:val="22"/>
      <w:szCs w:val="20"/>
      <w:lang w:eastAsia="en-US" w:bidi="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Heading3">
    <w:name w:val="heading 3"/>
    <w:basedOn w:val="Normal"/>
    <w:next w:val="Normal"/>
    <w:link w:val="Heading3Char"/>
    <w:qFormat/>
    <w:rsid w:val="000C64D5"/>
    <w:pPr>
      <w:keepNext/>
      <w:framePr w:hSpace="180" w:wrap="notBeside" w:vAnchor="text" w:hAnchor="margin" w:y="73"/>
      <w:widowControl/>
      <w:suppressAutoHyphens w:val="0"/>
      <w:autoSpaceDN/>
      <w:jc w:val="center"/>
      <w:textAlignment w:val="auto"/>
      <w:outlineLvl w:val="2"/>
    </w:pPr>
    <w:rPr>
      <w:rFonts w:ascii="Goudy Old Style" w:eastAsia="Times New Roman" w:hAnsi="Goudy Old Style" w:cs="Times New Roman"/>
      <w:b/>
      <w:color w:val="000000"/>
      <w:kern w:val="0"/>
      <w:sz w:val="22"/>
      <w:szCs w:val="20"/>
      <w:lang w:eastAsia="en-US" w:bidi="ar-SA"/>
    </w:rPr>
  </w:style>
  <w:style w:type="paragraph" w:styleId="Heading7">
    <w:name w:val="heading 7"/>
    <w:basedOn w:val="Normal"/>
    <w:next w:val="Normal"/>
    <w:link w:val="Heading7Char"/>
    <w:qFormat/>
    <w:rsid w:val="000C64D5"/>
    <w:pPr>
      <w:keepNext/>
      <w:widowControl/>
      <w:suppressAutoHyphens w:val="0"/>
      <w:autoSpaceDN/>
      <w:jc w:val="center"/>
      <w:textAlignment w:val="auto"/>
      <w:outlineLvl w:val="6"/>
    </w:pPr>
    <w:rPr>
      <w:rFonts w:ascii="Goudy Old Style" w:eastAsia="Times New Roman" w:hAnsi="Goudy Old Style" w:cs="Times New Roman"/>
      <w:b/>
      <w:color w:val="808000"/>
      <w:kern w:val="0"/>
      <w:sz w:val="22"/>
      <w:szCs w:val="20"/>
      <w:lang w:eastAsia="en-US" w:bidi="ar-SA"/>
    </w:rPr>
  </w:style>
  <w:style w:type="paragraph" w:styleId="Heading9">
    <w:name w:val="heading 9"/>
    <w:basedOn w:val="Normal"/>
    <w:next w:val="Normal"/>
    <w:link w:val="Heading9Char"/>
    <w:qFormat/>
    <w:rsid w:val="000C64D5"/>
    <w:pPr>
      <w:keepNext/>
      <w:framePr w:hSpace="180" w:wrap="notBeside" w:vAnchor="text" w:hAnchor="page" w:x="1210" w:y="1"/>
      <w:widowControl/>
      <w:suppressAutoHyphens w:val="0"/>
      <w:autoSpaceDN/>
      <w:jc w:val="center"/>
      <w:textAlignment w:val="auto"/>
      <w:outlineLvl w:val="8"/>
    </w:pPr>
    <w:rPr>
      <w:rFonts w:eastAsia="Times New Roman" w:cs="Times New Roman"/>
      <w:b/>
      <w:bCs/>
      <w:kern w:val="0"/>
      <w:sz w:val="20"/>
      <w:szCs w:val="20"/>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64D5"/>
    <w:rPr>
      <w:rFonts w:ascii="Goudy Old Style" w:eastAsia="Times New Roman" w:hAnsi="Goudy Old Style" w:cs="Times New Roman"/>
      <w:b/>
      <w:color w:val="00000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Heading3Char">
    <w:name w:val="Heading 3 Char"/>
    <w:basedOn w:val="DefaultParagraphFont"/>
    <w:link w:val="Heading3"/>
    <w:rsid w:val="000C64D5"/>
    <w:rPr>
      <w:rFonts w:ascii="Goudy Old Style" w:eastAsia="Times New Roman" w:hAnsi="Goudy Old Style" w:cs="Times New Roman"/>
      <w:b/>
      <w:color w:val="000000"/>
      <w:szCs w:val="20"/>
    </w:rPr>
  </w:style>
  <w:style w:type="character" w:customStyle="1" w:styleId="Heading7Char">
    <w:name w:val="Heading 7 Char"/>
    <w:basedOn w:val="DefaultParagraphFont"/>
    <w:link w:val="Heading7"/>
    <w:rsid w:val="000C64D5"/>
    <w:rPr>
      <w:rFonts w:ascii="Goudy Old Style" w:eastAsia="Times New Roman" w:hAnsi="Goudy Old Style" w:cs="Times New Roman"/>
      <w:b/>
      <w:color w:val="808000"/>
      <w:szCs w:val="20"/>
    </w:rPr>
  </w:style>
  <w:style w:type="character" w:customStyle="1" w:styleId="Heading9Char">
    <w:name w:val="Heading 9 Char"/>
    <w:basedOn w:val="DefaultParagraphFont"/>
    <w:link w:val="Heading9"/>
    <w:rsid w:val="000C64D5"/>
    <w:rPr>
      <w:rFonts w:ascii="Times New Roman" w:eastAsia="Times New Roman" w:hAnsi="Times New Roman" w:cs="Times New Roman"/>
      <w:b/>
      <w:bCs/>
      <w:sz w:val="20"/>
      <w:szCs w:val="20"/>
    </w:rPr>
  </w:style>
  <w:style w:type="character" w:styleId="Hyperlink">
    <w:name w:val="Hyperlink"/>
    <w:basedOn w:val="DefaultParagraphFont"/>
    <w:semiHidden/>
    <w:rsid w:val="000C64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rvvington.net" TargetMode="External"/><Relationship Id="rId11" Type="http://schemas.openxmlformats.org/officeDocument/2006/relationships/theme" Target="theme/theme1.xml"/><Relationship Id="rId5" Type="http://schemas.openxmlformats.org/officeDocument/2006/relationships/hyperlink" Target="http://WWW.IRVINGTON.NET"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Tyrone Young</dc:creator>
  <cp:keywords/>
  <dc:description/>
  <cp:lastModifiedBy>Tyrone Young</cp:lastModifiedBy>
  <cp:revision>3</cp:revision>
  <dcterms:created xsi:type="dcterms:W3CDTF">2022-05-03T11:12:00Z</dcterms:created>
  <dcterms:modified xsi:type="dcterms:W3CDTF">2022-05-03T11:15:00Z</dcterms:modified>
</cp:coreProperties>
</file>